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8327">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5DB834DC">
      <w:pPr>
        <w:spacing w:line="440" w:lineRule="exact"/>
        <w:rPr>
          <w:rFonts w:eastAsia="仿宋_GB2312"/>
          <w:sz w:val="28"/>
          <w:szCs w:val="24"/>
        </w:rPr>
      </w:pPr>
      <w:r>
        <w:rPr>
          <w:rFonts w:eastAsia="仿宋_GB2312"/>
          <w:sz w:val="28"/>
          <w:szCs w:val="24"/>
        </w:rPr>
        <w:t>提名奖项：自然科学奖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6874F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14:paraId="266887DF">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2CDBD3E6">
            <w:pPr>
              <w:jc w:val="center"/>
              <w:rPr>
                <w:rStyle w:val="4"/>
                <w:rFonts w:eastAsia="仿宋_GB2312"/>
                <w:b w:val="0"/>
                <w:color w:val="auto"/>
                <w:sz w:val="28"/>
              </w:rPr>
            </w:pPr>
            <w:r>
              <w:rPr>
                <w:rStyle w:val="4"/>
                <w:rFonts w:hint="eastAsia" w:eastAsia="仿宋_GB2312"/>
                <w:b w:val="0"/>
                <w:color w:val="auto"/>
                <w:sz w:val="28"/>
              </w:rPr>
              <w:t>骨关节病理退变机制与仿生修复材料研究</w:t>
            </w:r>
          </w:p>
        </w:tc>
      </w:tr>
      <w:tr w14:paraId="720C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0FE659E5">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678348CA">
            <w:pPr>
              <w:jc w:val="center"/>
              <w:rPr>
                <w:rStyle w:val="4"/>
                <w:rFonts w:eastAsia="仿宋_GB2312"/>
                <w:b w:val="0"/>
                <w:color w:val="auto"/>
                <w:sz w:val="28"/>
              </w:rPr>
            </w:pPr>
            <w:r>
              <w:rPr>
                <w:rStyle w:val="4"/>
                <w:rFonts w:hint="eastAsia" w:eastAsia="仿宋_GB2312"/>
                <w:b w:val="0"/>
                <w:color w:val="auto"/>
                <w:sz w:val="28"/>
              </w:rPr>
              <w:t>一等奖</w:t>
            </w:r>
          </w:p>
        </w:tc>
      </w:tr>
      <w:tr w14:paraId="19879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trPr>
        <w:tc>
          <w:tcPr>
            <w:tcW w:w="2269" w:type="dxa"/>
            <w:vAlign w:val="center"/>
          </w:tcPr>
          <w:p w14:paraId="0F24E69F">
            <w:pPr>
              <w:spacing w:line="440" w:lineRule="exact"/>
              <w:jc w:val="center"/>
              <w:rPr>
                <w:rFonts w:eastAsia="仿宋_GB2312"/>
                <w:bCs/>
                <w:sz w:val="28"/>
                <w:szCs w:val="24"/>
              </w:rPr>
            </w:pPr>
            <w:r>
              <w:rPr>
                <w:rFonts w:eastAsia="仿宋_GB2312"/>
                <w:bCs/>
                <w:sz w:val="28"/>
                <w:szCs w:val="24"/>
              </w:rPr>
              <w:t>提名书</w:t>
            </w:r>
          </w:p>
          <w:p w14:paraId="0C74469B">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71B3F773">
            <w:p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代表性论文：</w:t>
            </w:r>
          </w:p>
          <w:p w14:paraId="6A9AD6CD">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Chunhui Yuan, Zongyou Pan, Kun Zhao, Jun Li, Zixuan Sheng, Xudong Yao, Hua Liu, Xiaolei Zhang, Yang Yang, Dongsheng Yu, Yu Zhang, Yuzi Xu, Zhi-Yong Zhang, Wanlu Liu</w:t>
            </w:r>
            <w:r>
              <w:rPr>
                <w:rFonts w:eastAsia="仿宋"/>
                <w:color w:val="000000" w:themeColor="text1"/>
                <w:kern w:val="0"/>
                <w:sz w:val="24"/>
                <w:szCs w:val="24"/>
                <w14:textFill>
                  <w14:solidFill>
                    <w14:schemeClr w14:val="tx1"/>
                  </w14:solidFill>
                </w14:textFill>
              </w:rPr>
              <w:t>,</w:t>
            </w:r>
            <w:r>
              <w:rPr>
                <w:rFonts w:hint="eastAsia" w:eastAsia="仿宋"/>
                <w:color w:val="000000" w:themeColor="text1"/>
                <w:kern w:val="0"/>
                <w:sz w:val="24"/>
                <w:szCs w:val="24"/>
                <w14:textFill>
                  <w14:solidFill>
                    <w14:schemeClr w14:val="tx1"/>
                  </w14:solidFill>
                </w14:textFill>
              </w:rPr>
              <w:t xml:space="preserve"> Hongwei Ouyang*. Classification of four distinct osteoarthritis subtypes with a knee joint tissue transcriptome atlas. Bone Research. 2020, 8(1): 406-415. </w:t>
            </w:r>
          </w:p>
          <w:p w14:paraId="552E683D">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Jun Dai#, Dongsheng Yu#, Yafei Wang, Yishan Chen, Heng Sun, Xiaolei Zhang, Shouan Zhu, Zongyou Pan, Boon Chin Heng, Shufang Zhang, Hongwei Ouyang*. Kdm6b regulates cartilage development and homeostasis through anabolic metabolism. Annals of the Rheumatic Diseases. 2017,76(7): 1295-1303.</w:t>
            </w:r>
          </w:p>
          <w:p w14:paraId="6E525B4D">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 xml:space="preserve">Heng Sun#, Yan Wu#, Zongyou Pan, Dongsheng Yu, Pengfei Chen, Xiaoan Zhang, Haoyu Wu, Xiaolei Zhang, Chengrui An, Yishan Chen, Tian Qin, Xiaoyue Lei, Chunhui Yuan, Shufang Zhang, Weiguo Zou, Hongwei Ouyang*. Gefitinib for Epidermal Growth Factor Receptor Activated Osteoarthritis Subpopulation Treatment. EBioMedicine. 2018, 32: 223-233. </w:t>
            </w:r>
          </w:p>
          <w:p w14:paraId="07A215B2">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Xiaozhao Wang, Qin Wu, Ru Zhang, Zhang Fan,Wenyue Li, Renwei Mao, Zihao Du, Xudong Yao, Yuanzhu Ma, Yiyang Yan, Wei Sun, Hongwei Wu, Wei Wei, Yejun Hu, Yi Hong, Huan Hu, Yi Wen Koh, Wangping Duan, Xiao Chen, Hongwei Ouyang*. Stage-specific and location-specific cartilage calcification in osteoarthritis development. Annals of the Rheumatic Diseases. 2023, 82(3): 393-402.</w:t>
            </w:r>
          </w:p>
          <w:p w14:paraId="17275DEE">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 xml:space="preserve">Xiaozhao Wang, Junxin Lin, Zonghao Li, Yuanzhu Ma, Xianzhu Zhang, Qiulin He, Qin Wu, Yiyang Yan, Wei Wei, Xudong Yao, Chenglin Li, Wenyue Li, Shaofang Xie, Yejun Hu, Shufang Zhang, Yi Hong, Xu Li, Weiqiu Chen, Wangping Duan, Hongwei Ouyang*. Identification of an ultrathin osteochondral interface tissue with specific nanostructure at the human knee joint. Nano Letters. 2022, 22(6): 2309-2319. </w:t>
            </w:r>
          </w:p>
          <w:p w14:paraId="5F35C1F6">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Xianzhu Zhang, Dandan Cai, Feifei Zhou, Jie Yu, Xinyu Wu, Dongsheng Yu, Yiwei Zou, Yi Hong, Chunhui Yuan, Yishan Chen, Zongyou Pan, Varitsara Bunpetch, Heng Sun, Chengrui An, Toh Yi-Chin, Hongwei Ouyang**, Shufang Zhang*. Targeting downstream subcellular YAP activity as a function of matrix stiffness with Verteporfin-encapsulated chitosan microsphere attenuates osteoarthritis. Biomaterials. 2020, 232: 119724.</w:t>
            </w:r>
          </w:p>
          <w:p w14:paraId="01415D5B">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Feifei Zhou#, Yi Hong#, Xianzhu Zhang, Long Yang, Jun Li, Deming Jiang, Varitsara Bunpetch, Yejun Hu, Hongwei Ouyang*, Shufang Zhang*. Tough hydrogel with enhanced tissue integration and in situ forming capability for osteochondral defect repair. Applied Materials Today. 2018, 13: 32-44.</w:t>
            </w:r>
          </w:p>
          <w:p w14:paraId="6391E7CD">
            <w:pPr>
              <w:numPr>
                <w:ilvl w:val="0"/>
                <w:numId w:val="1"/>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 xml:space="preserve">Varitsara Bunpetch, Xiaoan Zhang, Tian Li, Junxin Lin, Ewetse Paul Maswikiti, Yan Wu, Dandan Cai, Jun Li, Shufang Zhang, Chengtie Wu, Hongwei Ouyang*. Silicate-based bioceramic scaffolds for dual-lineage regeneration of osteochondral defect. Biomaterials. 2019, 192: 323-333. </w:t>
            </w:r>
          </w:p>
          <w:p w14:paraId="4F529937">
            <w:pPr>
              <w:spacing w:line="440" w:lineRule="exact"/>
              <w:ind w:left="425"/>
              <w:jc w:val="left"/>
              <w:rPr>
                <w:rFonts w:eastAsia="仿宋"/>
                <w:color w:val="000000" w:themeColor="text1"/>
                <w:kern w:val="0"/>
                <w:sz w:val="24"/>
                <w:szCs w:val="24"/>
                <w14:textFill>
                  <w14:solidFill>
                    <w14:schemeClr w14:val="tx1"/>
                  </w14:solidFill>
                </w14:textFill>
              </w:rPr>
            </w:pPr>
          </w:p>
          <w:p w14:paraId="644CEE6F">
            <w:p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主要知识产权：</w:t>
            </w:r>
          </w:p>
          <w:p w14:paraId="54BBB9AF">
            <w:pPr>
              <w:numPr>
                <w:ilvl w:val="0"/>
                <w:numId w:val="2"/>
              </w:numPr>
              <w:spacing w:line="440" w:lineRule="exact"/>
              <w:jc w:val="left"/>
              <w:rPr>
                <w:rFonts w:hint="eastAsia"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专利名称：骨关节炎第一亚型的生物标记物以及用途</w:t>
            </w:r>
            <w:r>
              <w:rPr>
                <w:rFonts w:hint="eastAsia" w:eastAsia="仿宋"/>
                <w:color w:val="000000" w:themeColor="text1"/>
                <w:kern w:val="0"/>
                <w:sz w:val="24"/>
                <w:szCs w:val="24"/>
                <w14:textFill>
                  <w14:solidFill>
                    <w14:schemeClr w14:val="tx1"/>
                  </w14:solidFill>
                </w14:textFill>
              </w:rPr>
              <w:t>，专利号：ZL201910042975.3，授权日期：2021年8月10日</w:t>
            </w:r>
          </w:p>
          <w:p w14:paraId="1A9528DC">
            <w:pPr>
              <w:numPr>
                <w:ilvl w:val="0"/>
                <w:numId w:val="2"/>
              </w:numPr>
              <w:spacing w:line="440" w:lineRule="exact"/>
              <w:jc w:val="left"/>
              <w:rPr>
                <w:rFonts w:hint="eastAsia"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专利名称：一种医用组织粘合胶及其制备方法，专利号：ZL2021</w:t>
            </w:r>
            <w:bookmarkStart w:id="0" w:name="_GoBack"/>
            <w:bookmarkEnd w:id="0"/>
            <w:r>
              <w:rPr>
                <w:rFonts w:hint="eastAsia" w:eastAsia="仿宋"/>
                <w:color w:val="000000" w:themeColor="text1"/>
                <w:kern w:val="0"/>
                <w:sz w:val="24"/>
                <w:szCs w:val="24"/>
                <w14:textFill>
                  <w14:solidFill>
                    <w14:schemeClr w14:val="tx1"/>
                  </w14:solidFill>
                </w14:textFill>
              </w:rPr>
              <w:t>10471951.7，授权日：2023年6月16日</w:t>
            </w:r>
          </w:p>
          <w:p w14:paraId="172E6EFB">
            <w:pPr>
              <w:numPr>
                <w:ilvl w:val="0"/>
                <w:numId w:val="2"/>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lang w:val="en-US" w:eastAsia="zh-CN"/>
                <w14:textFill>
                  <w14:solidFill>
                    <w14:schemeClr w14:val="tx1"/>
                  </w14:solidFill>
                </w14:textFill>
              </w:rPr>
              <w:t>标准名称</w:t>
            </w:r>
            <w:r>
              <w:rPr>
                <w:rFonts w:hint="eastAsia" w:eastAsia="仿宋"/>
                <w:color w:val="000000" w:themeColor="text1"/>
                <w:kern w:val="0"/>
                <w:sz w:val="24"/>
                <w:szCs w:val="24"/>
                <w14:textFill>
                  <w14:solidFill>
                    <w14:schemeClr w14:val="tx1"/>
                  </w14:solidFill>
                </w14:textFill>
              </w:rPr>
              <w:t>：《组织工程医疗产品 第10部分：修复或再生关节软骨的植入物体内评价指南》，标准编号：</w:t>
            </w:r>
            <w:r>
              <w:rPr>
                <w:rFonts w:eastAsia="仿宋"/>
                <w:color w:val="000000" w:themeColor="text1"/>
                <w:kern w:val="0"/>
                <w:sz w:val="24"/>
                <w:szCs w:val="24"/>
                <w14:textFill>
                  <w14:solidFill>
                    <w14:schemeClr w14:val="tx1"/>
                  </w14:solidFill>
                </w14:textFill>
              </w:rPr>
              <w:t>YY/T0606.10-2008</w:t>
            </w:r>
            <w:r>
              <w:rPr>
                <w:rFonts w:hint="eastAsia" w:eastAsia="仿宋"/>
                <w:color w:val="000000" w:themeColor="text1"/>
                <w:kern w:val="0"/>
                <w:sz w:val="24"/>
                <w:szCs w:val="24"/>
                <w14:textFill>
                  <w14:solidFill>
                    <w14:schemeClr w14:val="tx1"/>
                  </w14:solidFill>
                </w14:textFill>
              </w:rPr>
              <w:t>，，发布日期：</w:t>
            </w:r>
            <w:r>
              <w:rPr>
                <w:rFonts w:eastAsia="仿宋"/>
                <w:color w:val="000000" w:themeColor="text1"/>
                <w:kern w:val="0"/>
                <w:sz w:val="24"/>
                <w:szCs w:val="24"/>
                <w14:textFill>
                  <w14:solidFill>
                    <w14:schemeClr w14:val="tx1"/>
                  </w14:solidFill>
                </w14:textFill>
              </w:rPr>
              <w:t>2008</w:t>
            </w:r>
            <w:r>
              <w:rPr>
                <w:rFonts w:hint="eastAsia" w:eastAsia="仿宋"/>
                <w:color w:val="000000" w:themeColor="text1"/>
                <w:kern w:val="0"/>
                <w:sz w:val="24"/>
                <w:szCs w:val="24"/>
                <w14:textFill>
                  <w14:solidFill>
                    <w14:schemeClr w14:val="tx1"/>
                  </w14:solidFill>
                </w14:textFill>
              </w:rPr>
              <w:t>年</w:t>
            </w:r>
            <w:r>
              <w:rPr>
                <w:rFonts w:eastAsia="仿宋"/>
                <w:color w:val="000000" w:themeColor="text1"/>
                <w:kern w:val="0"/>
                <w:sz w:val="24"/>
                <w:szCs w:val="24"/>
                <w14:textFill>
                  <w14:solidFill>
                    <w14:schemeClr w14:val="tx1"/>
                  </w14:solidFill>
                </w14:textFill>
              </w:rPr>
              <w:t>4</w:t>
            </w:r>
            <w:r>
              <w:rPr>
                <w:rFonts w:hint="eastAsia" w:eastAsia="仿宋"/>
                <w:color w:val="000000" w:themeColor="text1"/>
                <w:kern w:val="0"/>
                <w:sz w:val="24"/>
                <w:szCs w:val="24"/>
                <w14:textFill>
                  <w14:solidFill>
                    <w14:schemeClr w14:val="tx1"/>
                  </w14:solidFill>
                </w14:textFill>
              </w:rPr>
              <w:t>月</w:t>
            </w:r>
            <w:r>
              <w:rPr>
                <w:rFonts w:eastAsia="仿宋"/>
                <w:color w:val="000000" w:themeColor="text1"/>
                <w:kern w:val="0"/>
                <w:sz w:val="24"/>
                <w:szCs w:val="24"/>
                <w14:textFill>
                  <w14:solidFill>
                    <w14:schemeClr w14:val="tx1"/>
                  </w14:solidFill>
                </w14:textFill>
              </w:rPr>
              <w:t>25</w:t>
            </w:r>
            <w:r>
              <w:rPr>
                <w:rFonts w:hint="eastAsia" w:eastAsia="仿宋"/>
                <w:color w:val="000000" w:themeColor="text1"/>
                <w:kern w:val="0"/>
                <w:sz w:val="24"/>
                <w:szCs w:val="24"/>
                <w14:textFill>
                  <w14:solidFill>
                    <w14:schemeClr w14:val="tx1"/>
                  </w14:solidFill>
                </w14:textFill>
              </w:rPr>
              <w:t>日，实施日期：</w:t>
            </w:r>
            <w:r>
              <w:rPr>
                <w:rFonts w:eastAsia="仿宋"/>
                <w:color w:val="000000" w:themeColor="text1"/>
                <w:kern w:val="0"/>
                <w:sz w:val="24"/>
                <w:szCs w:val="24"/>
                <w14:textFill>
                  <w14:solidFill>
                    <w14:schemeClr w14:val="tx1"/>
                  </w14:solidFill>
                </w14:textFill>
              </w:rPr>
              <w:t>2009</w:t>
            </w:r>
            <w:r>
              <w:rPr>
                <w:rFonts w:hint="eastAsia" w:eastAsia="仿宋"/>
                <w:color w:val="000000" w:themeColor="text1"/>
                <w:kern w:val="0"/>
                <w:sz w:val="24"/>
                <w:szCs w:val="24"/>
                <w14:textFill>
                  <w14:solidFill>
                    <w14:schemeClr w14:val="tx1"/>
                  </w14:solidFill>
                </w14:textFill>
              </w:rPr>
              <w:t>年</w:t>
            </w:r>
            <w:r>
              <w:rPr>
                <w:rFonts w:eastAsia="仿宋"/>
                <w:color w:val="000000" w:themeColor="text1"/>
                <w:kern w:val="0"/>
                <w:sz w:val="24"/>
                <w:szCs w:val="24"/>
                <w14:textFill>
                  <w14:solidFill>
                    <w14:schemeClr w14:val="tx1"/>
                  </w14:solidFill>
                </w14:textFill>
              </w:rPr>
              <w:t>6</w:t>
            </w:r>
            <w:r>
              <w:rPr>
                <w:rFonts w:hint="eastAsia" w:eastAsia="仿宋"/>
                <w:color w:val="000000" w:themeColor="text1"/>
                <w:kern w:val="0"/>
                <w:sz w:val="24"/>
                <w:szCs w:val="24"/>
                <w14:textFill>
                  <w14:solidFill>
                    <w14:schemeClr w14:val="tx1"/>
                  </w14:solidFill>
                </w14:textFill>
              </w:rPr>
              <w:t>月</w:t>
            </w:r>
            <w:r>
              <w:rPr>
                <w:rFonts w:eastAsia="仿宋"/>
                <w:color w:val="000000" w:themeColor="text1"/>
                <w:kern w:val="0"/>
                <w:sz w:val="24"/>
                <w:szCs w:val="24"/>
                <w14:textFill>
                  <w14:solidFill>
                    <w14:schemeClr w14:val="tx1"/>
                  </w14:solidFill>
                </w14:textFill>
              </w:rPr>
              <w:t>1</w:t>
            </w:r>
            <w:r>
              <w:rPr>
                <w:rFonts w:hint="eastAsia" w:eastAsia="仿宋"/>
                <w:color w:val="000000" w:themeColor="text1"/>
                <w:kern w:val="0"/>
                <w:sz w:val="24"/>
                <w:szCs w:val="24"/>
                <w14:textFill>
                  <w14:solidFill>
                    <w14:schemeClr w14:val="tx1"/>
                  </w14:solidFill>
                </w14:textFill>
              </w:rPr>
              <w:t>日</w:t>
            </w:r>
          </w:p>
          <w:p w14:paraId="39F658C3">
            <w:pPr>
              <w:numPr>
                <w:ilvl w:val="0"/>
                <w:numId w:val="2"/>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标准</w:t>
            </w:r>
            <w:r>
              <w:rPr>
                <w:rFonts w:hint="eastAsia" w:eastAsia="仿宋"/>
                <w:color w:val="000000" w:themeColor="text1"/>
                <w:kern w:val="0"/>
                <w:sz w:val="24"/>
                <w:szCs w:val="24"/>
                <w:lang w:val="en-US" w:eastAsia="zh-CN"/>
                <w14:textFill>
                  <w14:solidFill>
                    <w14:schemeClr w14:val="tx1"/>
                  </w14:solidFill>
                </w14:textFill>
              </w:rPr>
              <w:t>名称</w:t>
            </w:r>
            <w:r>
              <w:rPr>
                <w:rFonts w:hint="eastAsia" w:eastAsia="仿宋"/>
                <w:color w:val="000000" w:themeColor="text1"/>
                <w:kern w:val="0"/>
                <w:sz w:val="24"/>
                <w:szCs w:val="24"/>
                <w14:textFill>
                  <w14:solidFill>
                    <w14:schemeClr w14:val="tx1"/>
                  </w14:solidFill>
                </w14:textFill>
              </w:rPr>
              <w:t>：《同种异体修复材料 脱矿骨材料的体内成骨诱导性能评价》，标准编号： YY/T1680-2020，发布日期：2020年2月21日，实施日期：2021年</w:t>
            </w:r>
            <w:r>
              <w:rPr>
                <w:rFonts w:eastAsia="仿宋"/>
                <w:color w:val="000000" w:themeColor="text1"/>
                <w:kern w:val="0"/>
                <w:sz w:val="24"/>
                <w:szCs w:val="24"/>
                <w14:textFill>
                  <w14:solidFill>
                    <w14:schemeClr w14:val="tx1"/>
                  </w14:solidFill>
                </w14:textFill>
              </w:rPr>
              <w:t>1</w:t>
            </w:r>
            <w:r>
              <w:rPr>
                <w:rFonts w:hint="eastAsia" w:eastAsia="仿宋"/>
                <w:color w:val="000000" w:themeColor="text1"/>
                <w:kern w:val="0"/>
                <w:sz w:val="24"/>
                <w:szCs w:val="24"/>
                <w14:textFill>
                  <w14:solidFill>
                    <w14:schemeClr w14:val="tx1"/>
                  </w14:solidFill>
                </w14:textFill>
              </w:rPr>
              <w:t>月1日</w:t>
            </w:r>
          </w:p>
          <w:p w14:paraId="07A62905">
            <w:pPr>
              <w:numPr>
                <w:ilvl w:val="0"/>
                <w:numId w:val="2"/>
              </w:numPr>
              <w:spacing w:line="440" w:lineRule="exact"/>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标准</w:t>
            </w:r>
            <w:r>
              <w:rPr>
                <w:rFonts w:hint="eastAsia" w:eastAsia="仿宋"/>
                <w:color w:val="000000" w:themeColor="text1"/>
                <w:kern w:val="0"/>
                <w:sz w:val="24"/>
                <w:szCs w:val="24"/>
                <w:lang w:val="en-US" w:eastAsia="zh-CN"/>
                <w14:textFill>
                  <w14:solidFill>
                    <w14:schemeClr w14:val="tx1"/>
                  </w14:solidFill>
                </w14:textFill>
              </w:rPr>
              <w:t>名称</w:t>
            </w:r>
            <w:r>
              <w:rPr>
                <w:rFonts w:hint="eastAsia" w:eastAsia="仿宋"/>
                <w:color w:val="000000" w:themeColor="text1"/>
                <w:kern w:val="0"/>
                <w:sz w:val="24"/>
                <w:szCs w:val="24"/>
                <w14:textFill>
                  <w14:solidFill>
                    <w14:schemeClr w14:val="tx1"/>
                  </w14:solidFill>
                </w14:textFill>
              </w:rPr>
              <w:t>：《用于关节软骨组织修复或再生的植入性医疗器械体内评价》，标准编号： T/CSBM 0029-2022，发布日期：2022年4月12日，实施日期：2022年10月1日</w:t>
            </w:r>
          </w:p>
        </w:tc>
      </w:tr>
      <w:tr w14:paraId="601D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1D08E44D">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22F5615">
            <w:pPr>
              <w:spacing w:line="440" w:lineRule="exact"/>
              <w:rPr>
                <w:rFonts w:eastAsia="仿宋_GB2312"/>
                <w:bCs/>
                <w:sz w:val="24"/>
                <w:szCs w:val="24"/>
              </w:rPr>
            </w:pPr>
            <w:r>
              <w:rPr>
                <w:rFonts w:hint="eastAsia" w:eastAsia="仿宋_GB2312"/>
                <w:bCs/>
                <w:sz w:val="24"/>
                <w:szCs w:val="24"/>
              </w:rPr>
              <w:t>欧阳宏伟</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 xml:space="preserve">工作单位：浙江大学      </w:t>
            </w:r>
          </w:p>
          <w:p w14:paraId="2A4CA5EB">
            <w:pPr>
              <w:spacing w:line="440" w:lineRule="exact"/>
              <w:rPr>
                <w:rFonts w:eastAsia="仿宋_GB2312"/>
                <w:bCs/>
                <w:sz w:val="24"/>
                <w:szCs w:val="24"/>
              </w:rPr>
            </w:pPr>
            <w:r>
              <w:rPr>
                <w:rFonts w:hint="eastAsia" w:eastAsia="仿宋_GB2312"/>
                <w:bCs/>
                <w:sz w:val="24"/>
                <w:szCs w:val="24"/>
              </w:rPr>
              <w:t>张显著</w:t>
            </w:r>
            <w:r>
              <w:rPr>
                <w:rFonts w:eastAsia="仿宋_GB2312"/>
                <w:bCs/>
                <w:sz w:val="24"/>
                <w:szCs w:val="24"/>
              </w:rPr>
              <w:t>，排名2，</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工作单位：浙江大学</w:t>
            </w:r>
          </w:p>
          <w:p w14:paraId="3A7900FC">
            <w:pPr>
              <w:spacing w:line="440" w:lineRule="exact"/>
              <w:rPr>
                <w:rFonts w:eastAsia="仿宋_GB2312"/>
                <w:bCs/>
                <w:sz w:val="24"/>
                <w:szCs w:val="24"/>
              </w:rPr>
            </w:pPr>
            <w:r>
              <w:rPr>
                <w:rFonts w:hint="eastAsia" w:eastAsia="仿宋_GB2312"/>
                <w:bCs/>
                <w:sz w:val="24"/>
                <w:szCs w:val="24"/>
              </w:rPr>
              <w:t>王小召</w:t>
            </w:r>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工作单位：良渚实验室</w:t>
            </w:r>
          </w:p>
          <w:p w14:paraId="417F619F">
            <w:pPr>
              <w:spacing w:line="440" w:lineRule="exact"/>
              <w:rPr>
                <w:rFonts w:eastAsia="仿宋_GB2312"/>
                <w:bCs/>
                <w:sz w:val="24"/>
                <w:szCs w:val="24"/>
              </w:rPr>
            </w:pPr>
            <w:r>
              <w:rPr>
                <w:rFonts w:hint="eastAsia" w:eastAsia="仿宋_GB2312"/>
                <w:bCs/>
                <w:sz w:val="24"/>
                <w:szCs w:val="24"/>
              </w:rPr>
              <w:t>洪</w:t>
            </w:r>
            <w:r>
              <w:rPr>
                <w:rFonts w:hint="eastAsia" w:eastAsia="仿宋_GB2312"/>
                <w:bCs/>
                <w:sz w:val="24"/>
                <w:szCs w:val="24"/>
                <w:lang w:val="en-US" w:eastAsia="zh-CN"/>
              </w:rPr>
              <w:t xml:space="preserve">  </w:t>
            </w:r>
            <w:r>
              <w:rPr>
                <w:rFonts w:hint="eastAsia" w:eastAsia="仿宋_GB2312"/>
                <w:bCs/>
                <w:sz w:val="24"/>
                <w:szCs w:val="24"/>
              </w:rPr>
              <w:t>逸，排名4，研究员，工作单位：良渚实验室</w:t>
            </w:r>
          </w:p>
          <w:p w14:paraId="57E6AB81">
            <w:pPr>
              <w:spacing w:line="440" w:lineRule="exact"/>
              <w:rPr>
                <w:rFonts w:eastAsia="仿宋_GB2312"/>
                <w:bCs/>
                <w:sz w:val="24"/>
                <w:szCs w:val="24"/>
              </w:rPr>
            </w:pPr>
            <w:r>
              <w:rPr>
                <w:rFonts w:hint="eastAsia" w:eastAsia="仿宋_GB2312"/>
                <w:bCs/>
                <w:sz w:val="24"/>
                <w:szCs w:val="24"/>
              </w:rPr>
              <w:t>章淑芳，排名5，副教授</w:t>
            </w:r>
            <w:r>
              <w:rPr>
                <w:rFonts w:eastAsia="仿宋_GB2312"/>
                <w:bCs/>
                <w:sz w:val="24"/>
                <w:szCs w:val="24"/>
              </w:rPr>
              <w:t>，</w:t>
            </w:r>
            <w:r>
              <w:rPr>
                <w:rFonts w:hint="eastAsia" w:eastAsia="仿宋_GB2312"/>
                <w:bCs/>
                <w:sz w:val="24"/>
                <w:szCs w:val="24"/>
              </w:rPr>
              <w:t>工作单位：浙江大学</w:t>
            </w:r>
          </w:p>
        </w:tc>
      </w:tr>
      <w:tr w14:paraId="1060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1C7499F2">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5B3C8D6E">
            <w:pPr>
              <w:numPr>
                <w:ilvl w:val="0"/>
                <w:numId w:val="3"/>
              </w:numPr>
              <w:spacing w:line="440" w:lineRule="exact"/>
              <w:jc w:val="left"/>
              <w:rPr>
                <w:rFonts w:eastAsia="仿宋_GB2312"/>
                <w:bCs/>
                <w:sz w:val="24"/>
                <w:szCs w:val="24"/>
              </w:rPr>
            </w:pPr>
            <w:r>
              <w:rPr>
                <w:rFonts w:eastAsia="仿宋_GB2312"/>
                <w:bCs/>
                <w:sz w:val="24"/>
                <w:szCs w:val="24"/>
              </w:rPr>
              <w:t>单位名称：</w:t>
            </w:r>
            <w:r>
              <w:rPr>
                <w:rFonts w:hint="eastAsia" w:eastAsia="仿宋_GB2312"/>
                <w:bCs/>
                <w:sz w:val="24"/>
                <w:szCs w:val="24"/>
              </w:rPr>
              <w:t>浙江大学</w:t>
            </w:r>
          </w:p>
          <w:p w14:paraId="75177D4A">
            <w:pPr>
              <w:numPr>
                <w:ilvl w:val="0"/>
                <w:numId w:val="3"/>
              </w:numPr>
              <w:spacing w:line="440" w:lineRule="exact"/>
              <w:ind w:left="0" w:leftChars="0" w:firstLine="0" w:firstLineChars="0"/>
              <w:jc w:val="left"/>
              <w:rPr>
                <w:rFonts w:eastAsia="仿宋_GB2312"/>
                <w:bCs/>
                <w:sz w:val="24"/>
                <w:szCs w:val="24"/>
              </w:rPr>
            </w:pPr>
            <w:r>
              <w:rPr>
                <w:rFonts w:eastAsia="仿宋_GB2312"/>
                <w:bCs/>
                <w:sz w:val="24"/>
                <w:szCs w:val="24"/>
              </w:rPr>
              <w:t>单位名称：</w:t>
            </w:r>
            <w:r>
              <w:rPr>
                <w:rFonts w:hint="eastAsia" w:eastAsia="仿宋_GB2312"/>
                <w:bCs/>
                <w:sz w:val="24"/>
                <w:szCs w:val="24"/>
              </w:rPr>
              <w:t>良渚实验室</w:t>
            </w:r>
          </w:p>
        </w:tc>
      </w:tr>
      <w:tr w14:paraId="1AE3D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111F2D1">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1BC6D2B9">
            <w:pPr>
              <w:contextualSpacing/>
              <w:jc w:val="center"/>
              <w:rPr>
                <w:rStyle w:val="4"/>
                <w:b w:val="0"/>
                <w:color w:val="auto"/>
              </w:rPr>
            </w:pPr>
            <w:r>
              <w:rPr>
                <w:rStyle w:val="4"/>
                <w:rFonts w:hint="eastAsia"/>
                <w:b w:val="0"/>
                <w:color w:val="auto"/>
              </w:rPr>
              <w:t>浙江大学</w:t>
            </w:r>
          </w:p>
        </w:tc>
      </w:tr>
      <w:tr w14:paraId="2A2B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4065AA14">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0839B321">
            <w:pPr>
              <w:spacing w:line="360" w:lineRule="auto"/>
              <w:ind w:firstLine="720" w:firstLineChars="300"/>
              <w:contextualSpacing/>
              <w:rPr>
                <w:rStyle w:val="4"/>
                <w:b w:val="0"/>
                <w:color w:val="auto"/>
              </w:rPr>
            </w:pPr>
            <w:r>
              <w:rPr>
                <w:rStyle w:val="4"/>
                <w:rFonts w:hint="eastAsia"/>
                <w:b w:val="0"/>
                <w:color w:val="auto"/>
              </w:rPr>
              <w:t>运动系统软组织损伤与疾病高发，其中骨关节炎（OA）患者数以亿计，目前临床以中早期对症治疗、晚期关节置换为主，难以满足患者正常关节功能与长期疗效需求。本项目在国家及浙江省项目资助下，围绕关节软骨退变机制与再生修复重大科学问题，开展了系统研究：1）建立基于软骨转录组的OA分子分型标准，识别并验证相关OA亚型的病理机制，提出亚型指导的用药方案；2）阐明骨软骨界面宏-微-纳物质组装规律及病理性钙化演变过程，揭示软骨ECM力学微环境调控软骨退变的新机制，为软骨再生材料设计提供依据；3）仿生构建自粘型双层软骨支架等关键再生材料，获批国家药监局创新医疗器械并完成多中心临床试验验证，实现从基础发现到临床转化。本项目8篇代表性论文发表于Ann Rheum Dis、Bone Res等领域主流期刊，篇均他引68次，成果先后获得国际软骨修复学会年会最佳论文奖等国际学会奖励22项。项目在浙江省建立了一个高水平的运动系统组织工程与再生医学创新团队，显著提升了我省在本领域的学术声誉。第一完成人入选美国医学与生物工程院AIMBE、国际医学和生物工程学会IAMBE、国际骨科联合研究学会ICORS等Fellow，团队获选国家自然科学基金委交叉学部首批创新研究群体。研究成果为OA的诊疗从“对症治疗和切除替代”范式进化到“精准阻断病理和关节再生修复”范式提供了新理论、新手段和新实践，对临床诊疗范式迭代有重要意义。</w:t>
            </w:r>
          </w:p>
        </w:tc>
      </w:tr>
    </w:tbl>
    <w:p w14:paraId="2CBC3B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561DC"/>
    <w:multiLevelType w:val="singleLevel"/>
    <w:tmpl w:val="D9F561DC"/>
    <w:lvl w:ilvl="0" w:tentative="0">
      <w:start w:val="1"/>
      <w:numFmt w:val="decimal"/>
      <w:suff w:val="space"/>
      <w:lvlText w:val="%1."/>
      <w:lvlJc w:val="left"/>
    </w:lvl>
  </w:abstractNum>
  <w:abstractNum w:abstractNumId="1">
    <w:nsid w:val="0CFDC7F5"/>
    <w:multiLevelType w:val="singleLevel"/>
    <w:tmpl w:val="0CFDC7F5"/>
    <w:lvl w:ilvl="0" w:tentative="0">
      <w:start w:val="1"/>
      <w:numFmt w:val="decimal"/>
      <w:lvlText w:val="%1."/>
      <w:lvlJc w:val="left"/>
      <w:pPr>
        <w:ind w:left="425" w:hanging="425"/>
      </w:pPr>
      <w:rPr>
        <w:rFonts w:hint="default"/>
      </w:rPr>
    </w:lvl>
  </w:abstractNum>
  <w:abstractNum w:abstractNumId="2">
    <w:nsid w:val="4994D0EE"/>
    <w:multiLevelType w:val="singleLevel"/>
    <w:tmpl w:val="4994D0E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ThkZGEwNzFmNThlOGZhNGM2NzdiODI3MzY3MjYifQ=="/>
  </w:docVars>
  <w:rsids>
    <w:rsidRoot w:val="00E62064"/>
    <w:rsid w:val="001C7A4B"/>
    <w:rsid w:val="00596C4E"/>
    <w:rsid w:val="008E1F3E"/>
    <w:rsid w:val="00A542ED"/>
    <w:rsid w:val="00B03141"/>
    <w:rsid w:val="00D80CDA"/>
    <w:rsid w:val="00DC06D1"/>
    <w:rsid w:val="00E62064"/>
    <w:rsid w:val="00F23447"/>
    <w:rsid w:val="00FA232D"/>
    <w:rsid w:val="1E4A01A2"/>
    <w:rsid w:val="1E77516C"/>
    <w:rsid w:val="43394480"/>
    <w:rsid w:val="505428F9"/>
    <w:rsid w:val="548433DC"/>
    <w:rsid w:val="570C1673"/>
    <w:rsid w:val="5E222971"/>
    <w:rsid w:val="6C245A9D"/>
    <w:rsid w:val="75ED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title1"/>
    <w:autoRedefine/>
    <w:qFormat/>
    <w:uiPriority w:val="0"/>
    <w:rPr>
      <w:b/>
      <w:bCs/>
      <w:color w:val="99990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1437</Words>
  <Characters>3506</Characters>
  <Lines>28</Lines>
  <Paragraphs>7</Paragraphs>
  <TotalTime>26</TotalTime>
  <ScaleCrop>false</ScaleCrop>
  <LinksUpToDate>false</LinksUpToDate>
  <CharactersWithSpaces>3899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2026-05-18T05:59:00Z</dcterms:created>
  <dc:creator>DELL</dc:creator>
  <cp:lastModifiedBy>黄琴琴</cp:lastModifiedBy>
  <dcterms:modified xsi:type="dcterms:W3CDTF">2026-06-03T05:07:45Z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eyJoZGlkIjoiMzljYWUzNjFlZTJhYWVkNzIxY2YzNWYzMjEwZmQyOWMiLCJ1c2VySWQiOiIxNzU2MTM0ODEzIn0=</vt:lpwstr>
  </property>
  <property fmtid="{D5CDD505-2E9C-101B-9397-08002B2CF9AE}" pid="4" name="ICV">
    <vt:lpwstr>B4F78346A78D49969AAD722A06DAEC0F_13</vt:lpwstr>
  </property>
</Properties>
</file>